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" w:after="120" w:line="276"/>
        <w:jc w:val="center"/>
      </w:pPr>
      <w:r>
        <w:rPr>
          <w:color w:val="9E9E9E"/>
          <w:sz w:val="17"/>
          <w:szCs w:val="17"/>
        </w:rPr>
        <w:t xml:space="preserve">Tribunal Superior do Trabalho — Programa de Pós-Graduação</w:t>
      </w:r>
    </w:p>
    <w:p>
      <w:pPr>
        <w:spacing w:before="60" w:after="120" w:line="276"/>
        <w:jc w:val="center"/>
      </w:pPr>
      <w:r>
        <w:rPr>
          <w:b/>
          <w:bCs/>
          <w:color w:val="1A1A1A"/>
          <w:sz w:val="39"/>
          <w:szCs w:val="39"/>
        </w:rPr>
        <w:t xml:space="preserve">MATERIAL DE APOIO À DEFESA — ANÁLISE DE CLUSTERS POR UNIDADE DE LOTAÇÃO</w:t>
      </w:r>
    </w:p>
    <w:p>
      <w:pPr>
        <w:spacing w:before="60" w:after="120" w:line="276"/>
        <w:jc w:val="center"/>
      </w:pPr>
      <w:r>
        <w:rPr>
          <w:i/>
          <w:iCs/>
          <w:color w:val="555555"/>
          <w:sz w:val="21"/>
          <w:szCs w:val="21"/>
        </w:rPr>
        <w:t xml:space="preserve">Análise complementar de robustez e perfilamento de maturidade digital</w:t>
      </w:r>
    </w:p>
    <w:p>
      <w:pPr>
        <w:spacing w:before="60" w:after="120" w:line="276"/>
        <w:jc w:val="center"/>
      </w:pPr>
      <w:r>
        <w:rPr>
          <w:color w:val="9E9E9E"/>
          <w:sz w:val="18"/>
          <w:szCs w:val="18"/>
        </w:rPr>
        <w:t xml:space="preserve">25 de agosto de 2026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1. NOTA INTRODUTÓRIA</w:t>
      </w:r>
    </w:p>
    <w:p>
      <w:pPr>
        <w:spacing w:before="60" w:after="120" w:line="276"/>
        <w:jc w:val="both"/>
      </w:pPr>
      <w:r>
        <w:t xml:space="preserve">Este documento apresenta uma análise complementar de robustez gerada no ambiente </w:t>
      </w:r>
      <w:r>
        <w:rPr>
          <w:b/>
          <w:bCs/>
        </w:rPr>
        <w:t xml:space="preserve">SAS Viya</w:t>
      </w:r>
      <w:r>
        <w:t xml:space="preserve"> (amostra final N=325; usuários ativos n=194; dados ponderados por pós-estratificação), cruzando os três perfis de maturidade digital identificados com as unidades de lotação dos servidores. Os resultados corroboram e aprofundam os achados das Tabelas 14 e 15 da dissertação, demonstrando a consistência estatística e a utilidade prática da segmentação adotada para o Plano de Desenvolvimento de Pessoas (PDP).</w:t>
      </w:r>
    </w:p>
    <w:p>
      <w:pPr>
        <w:pStyle w:val="Heading3"/>
        <w:spacing w:before="240" w:after="120"/>
      </w:pPr>
      <w:r>
        <w:t xml:space="preserve">2. DISTRIBUIÇÃO POR UNIDADE DE LOTAÇÃO</w:t>
      </w:r>
    </w:p>
    <w:p>
      <w:pPr>
        <w:spacing w:before="60" w:after="120" w:line="276"/>
      </w:pPr>
      <w:r>
        <w:rPr>
          <w:b/>
          <w:bCs/>
        </w:rPr>
        <w:t xml:space="preserve">TABELA 1 — Distribuição dos três perfis de maturidade digital por unidade de lotação (frequência ponderada e percentual dentro do perfil)</w:t>
      </w:r>
    </w:p>
    <w:tbl>
      <w:tblPr>
        <w:tblW w:type="dxa" w:w="10800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  <w:tblLayout w:type="fixed"/>
      </w:tblPr>
      <w:tblGrid>
        <w:gridCol w:w="2700"/>
        <w:gridCol w:w="2700"/>
        <w:gridCol w:w="2700"/>
        <w:gridCol w:w="2700"/>
      </w:tblGrid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Unidade de Lotação (P1_Otimizada)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Cluster 1 — Experimentadores Eficientes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Cluster 2 — Retraídos Operacionais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Cluster 3 — Pragmáticos Analíticos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Grupo 2 — Gabinetes de Ministros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33 (29,78%)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 (41,67%)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30 (41,72%)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Macro-Área: Secretarias de Apoio Operacional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27,1 (24,46%)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1,1 (11,46%)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14,9 (20,72%)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Grupo 9 — SETIN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15,4 (13,90%)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 (0,00%)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3,3 (4,59%)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Grupo 13 — SEGJUD/SESDI/SETR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 (6,32%)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(10,42%)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 (5,56%)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Grupo 20 — CSJT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9 (8,12%)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(10,42%)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 (6,95%)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Grupo 1 — GP/GVP/CGC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 (3,61%)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 (0,00%)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6,4 (8,90%)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Macro-Área: Assessorias Estratégicas e Comunicação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5,8 (5,23%)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0,6 (6,25%)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2,1 (2,92%)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Grupo 14 — ASJIP/CDOC/CGEDM/CCADP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3,9 (3,52%)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 (0,00%)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1,3 (1,81%)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Grupo 16 — GDGSET/ASJUR/COCONF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3,6 (3,25%)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0,9 (9,38%)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0,9 (1,25%)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Grupo 17 — SEGPES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(1,81%)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(10,42%)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 (5,56%)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Linha Total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110,8 (100%)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9,6 (100%)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71,9 (100%)</w:t>
            </w:r>
          </w:p>
        </w:tc>
      </w:tr>
    </w:tbl>
    <w:p>
      <w:pPr>
        <w:spacing w:before="60" w:after="120" w:line="276"/>
      </w:pPr>
      <w:r>
        <w:rPr>
          <w:b/>
          <w:bCs/>
          <w:i/>
          <w:iCs/>
        </w:rPr>
        <w:t xml:space="preserve">Nota:</w:t>
      </w:r>
      <w:r>
        <w:rPr>
          <w:b/>
          <w:bCs/>
          <w:i/>
          <w:iCs/>
        </w:rPr>
        <w:t xml:space="preserve"> Frequências ponderadas (peso amostral). Frequency Missing = 133,2 (não usuários, n=131, excluídos da segmentação). Dados gerados com base na pesquisa Competências para uso de IA Generativa no TST (2026), SAS Viya (PROC FREQ).</w:t>
      </w:r>
    </w:p>
    <w:p>
      <w:pPr>
        <w:pStyle w:val="Heading3"/>
        <w:spacing w:before="240" w:after="120"/>
      </w:pPr>
      <w:r>
        <w:t xml:space="preserve">3. PERFILAMENTO DAS DIMENSÕES E ITENS ÉTICOS</w:t>
      </w:r>
    </w:p>
    <w:p>
      <w:pPr>
        <w:spacing w:before="60" w:after="120" w:line="276"/>
      </w:pPr>
      <w:r>
        <w:rPr>
          <w:b/>
          <w:bCs/>
        </w:rPr>
        <w:t xml:space="preserve">TABELA 2 — Perfilamento ponderado das médias das dimensões e itens éticos por cluster (n=194)</w:t>
      </w:r>
    </w:p>
    <w:tbl>
      <w:tblPr>
        <w:tblW w:type="dxa" w:w="10800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  <w:tblLayout w:type="fixed"/>
      </w:tblPr>
      <w:tblGrid>
        <w:gridCol w:w="2700"/>
        <w:gridCol w:w="2700"/>
        <w:gridCol w:w="2700"/>
        <w:gridCol w:w="2700"/>
      </w:tblGrid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Dimensão / Indicador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Cluster 1 (57,62%)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Cluster 2 (4,99%)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Cluster 3 (37,39%)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Competências Técnicas (Dim_Tecnica)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3,39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1,62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2,24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Competências Informacionais (Dim_Informacional)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4,21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2,43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3,78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Competências Comportamentais (Dim_Comportament)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4,30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2,64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3,50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Ajuste Tecnologia-Tarefa (Dim_Ajuste_TTF)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4,22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2,79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3,25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Item P22 (Declaração formal de uso)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2,58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1,95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2,49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Item P23 (Transparência)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4,08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3,89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3,96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Item P24 (Responsabilidade individual)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4,82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4,06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4,40</w:t>
            </w:r>
          </w:p>
        </w:tc>
      </w:tr>
    </w:tbl>
    <w:p>
      <w:pPr>
        <w:spacing w:before="60" w:after="120" w:line="276"/>
      </w:pPr>
      <w:r>
        <w:rPr>
          <w:b/>
          <w:bCs/>
          <w:i/>
          <w:iCs/>
        </w:rPr>
        <w:t xml:space="preserve">Nota:</w:t>
      </w:r>
      <w:r>
        <w:rPr>
          <w:b/>
          <w:bCs/>
          <w:i/>
          <w:iCs/>
        </w:rPr>
        <w:t xml:space="preserve"> N Obs: Cluster 1 = 111; Cluster 2 = 10; Cluster 3 = 73. SAS Viya (PROC MEANS com peso).</w:t>
      </w:r>
    </w:p>
    <w:p>
      <w:pPr>
        <w:pStyle w:val="Heading3"/>
        <w:spacing w:before="240" w:after="120"/>
      </w:pPr>
      <w:r>
        <w:t xml:space="preserve">4. VALIDAÇÃO ESTATÍSTICA DO NÚMERO DE CLUSTERS</w:t>
      </w:r>
    </w:p>
    <w:p>
      <w:pPr>
        <w:spacing w:before="60" w:after="120" w:line="276"/>
      </w:pPr>
      <w:r>
        <w:rPr>
          <w:b/>
          <w:bCs/>
        </w:rPr>
        <w:t xml:space="preserve">TABELA 3 — Indicadores de validação do número de clusters — PROC CLUSTER (método de Ward), dados ponderados</w:t>
      </w:r>
    </w:p>
    <w:tbl>
      <w:tblPr>
        <w:tblW w:type="dxa" w:w="10800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  <w:tblLayout w:type="fixed"/>
      </w:tblPr>
      <w:tblGrid>
        <w:gridCol w:w="2700"/>
        <w:gridCol w:w="2700"/>
        <w:gridCol w:w="2700"/>
        <w:gridCol w:w="2700"/>
      </w:tblGrid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Nº de clusters (k)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Pseudo F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Pseudo t²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Leitura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8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54,5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17,0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Segmentação excessiva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56,9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10,7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Segmentação excessiva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60,3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16,8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Segmentação excessiva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62,6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35,3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t² começa a subir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68,7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19,3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 continua subindo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71,2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49,7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PICO do t² — solução adotada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94,4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28,7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t² cai; perde interpretabilidade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—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94,4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Solução única — sem perfis</w:t>
            </w:r>
          </w:p>
        </w:tc>
      </w:tr>
    </w:tbl>
    <w:p>
      <w:pPr>
        <w:spacing w:before="60" w:after="120" w:line="276"/>
      </w:pPr>
      <w:r>
        <w:rPr>
          <w:b/>
          <w:bCs/>
          <w:i/>
          <w:iCs/>
        </w:rPr>
        <w:t xml:space="preserve">Nota:</w:t>
      </w:r>
      <w:r>
        <w:rPr>
          <w:b/>
          <w:bCs/>
          <w:i/>
          <w:iCs/>
        </w:rPr>
        <w:t xml:space="preserve"> O pico do pseudo-t² (49,7) na fusão 3→2 indica que os grupos não deveriam ser fundidos, corroborando a solução de k=3, consistente com a interpretabilidade teórica e a utilidade para o PDP.</w:t>
      </w:r>
    </w:p>
    <w:p>
      <w:pPr>
        <w:pStyle w:val="Heading3"/>
        <w:spacing w:before="240" w:after="120"/>
      </w:pPr>
      <w:r>
        <w:t xml:space="preserve">5. SÍNTESE DA LEITURA</w:t>
      </w:r>
    </w:p>
    <w:p>
      <w:pPr>
        <w:spacing w:before="60" w:after="120" w:line="276"/>
        <w:jc w:val="both"/>
      </w:pPr>
      <w:r>
        <w:t xml:space="preserve">A análise complementar reforça a robustez do diagnóstico: a </w:t>
      </w:r>
      <w:r>
        <w:rPr>
          <w:b/>
          <w:bCs/>
        </w:rPr>
        <w:t xml:space="preserve">SETIN</w:t>
      </w:r>
      <w:r>
        <w:t xml:space="preserve"> destaca-se com a maior média de competência técnica dentro do Cluster 1 (Dim_Tecnica = 4,06, conforme análise por cluster × lotação), resultado convergente com a ANOVA ponderada apresentada na dissertação (LS-Mean = 3,75; p = 0,0026). Tais evidências confirmam a necessidade de trilhas de capacitação diferenciadas por setor e perfil de maturidade digital.</w:t>
      </w:r>
    </w:p>
    <w:p>
      <w:pPr>
        <w:pBdr>
          <w:bottom w:val="single" w:color="CCCCCC" w:sz="6"/>
        </w:pBdr>
        <w:spacing w:before="200" w:after="200"/>
      </w:pPr>
    </w:p>
    <w:p>
      <w:pPr>
        <w:spacing w:before="60" w:after="120" w:line="276"/>
        <w:jc w:val="center"/>
      </w:pPr>
      <w:r>
        <w:rPr>
          <w:color w:val="757575"/>
          <w:sz w:val="18"/>
          <w:szCs w:val="18"/>
        </w:rPr>
        <w:t xml:space="preserve">Documento elaborado em 25 de agosto de 2026. As informações contidas são de responsabilidade do solicitante.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80" w:after="240"/>
    </w:pPr>
    <w:rPr>
      <w:rFonts w:ascii="Calibri" w:cs="Calibri" w:eastAsia="Calibri" w:hAnsi="Calibri"/>
      <w:b/>
      <w:bCs/>
      <w:sz w:val="52"/>
      <w:szCs w:val="52"/>
    </w:rPr>
  </w:style>
  <w:style w:type="paragraph" w:styleId="Heading2">
    <w:name w:val="Heading 2"/>
    <w:basedOn w:val="Normal"/>
    <w:next w:val="Normal"/>
    <w:qFormat/>
    <w:pPr>
      <w:spacing w:before="360" w:after="180"/>
    </w:pPr>
    <w:rPr>
      <w:rFonts w:ascii="Calibri" w:cs="Calibri" w:eastAsia="Calibri" w:hAnsi="Calibri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spacing w:before="240" w:after="120"/>
    </w:pPr>
    <w:rPr>
      <w:rFonts w:ascii="Calibri" w:cs="Calibri" w:eastAsia="Calibri" w:hAnsi="Calibri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spacing w:line="276"/>
    </w:pPr>
    <w:rPr>
      <w:rFonts w:ascii="Calibri" w:cs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2026-08-25T20:52:19.637Z</dcterms:created>
  <dcterms:modified xsi:type="dcterms:W3CDTF">2026-08-25T20:52:19.637Z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